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615"/>
          <w:tab w:val="right" w:leader="none" w:pos="9131"/>
        </w:tabs>
        <w:spacing w:line="240" w:lineRule="auto"/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Természettudományi Kar</w:t>
      </w:r>
    </w:p>
    <w:p w:rsidR="00000000" w:rsidDel="00000000" w:rsidP="00000000" w:rsidRDefault="00000000" w:rsidRPr="00000000" w14:paraId="00000002">
      <w:pPr>
        <w:tabs>
          <w:tab w:val="center" w:leader="none" w:pos="4615"/>
          <w:tab w:val="right" w:leader="none" w:pos="9131"/>
        </w:tabs>
        <w:spacing w:line="240" w:lineRule="auto"/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Kari Publikációs Ösztöndíj</w:t>
      </w:r>
    </w:p>
    <w:p w:rsidR="00000000" w:rsidDel="00000000" w:rsidP="00000000" w:rsidRDefault="00000000" w:rsidRPr="00000000" w14:paraId="00000003">
      <w:pPr>
        <w:spacing w:line="240" w:lineRule="auto"/>
        <w:ind w:right="63"/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Pályázati felhívás</w:t>
      </w:r>
    </w:p>
    <w:p w:rsidR="00000000" w:rsidDel="00000000" w:rsidP="00000000" w:rsidRDefault="00000000" w:rsidRPr="00000000" w14:paraId="00000004">
      <w:pPr>
        <w:spacing w:line="240" w:lineRule="auto"/>
        <w:ind w:right="63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2024/25. tanév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200" w:line="240" w:lineRule="auto"/>
        <w:ind w:left="-5" w:right="4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Budapesti Műszaki és Gazdaságtudományi Egyetem (a továbbiakban: BME) Természettudományi Kar (a továbbiakban: TTK) Kari Publikációs Ösztöndíj pályázatot hirdet a BME Térítési és Juttatási Szabályzat (a továbbiakban: TJSZ) 37. § és a BME TTK Szervezeti és Működési Szabályzatának (SZMSZ) „A Természettudományi Kar által adományozott kitüntetések és adományozási rendjük szabályzata” elnevezésű 2. számú Függeléke 2. rész (9) bekezdése alapján kiemelkedő publikációs tevékenység jutalmazására.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00" w:line="240" w:lineRule="auto"/>
        <w:ind w:left="-5" w:firstLine="0"/>
        <w:jc w:val="both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Pályázat feltételei: </w:t>
      </w:r>
    </w:p>
    <w:p w:rsidR="00000000" w:rsidDel="00000000" w:rsidP="00000000" w:rsidRDefault="00000000" w:rsidRPr="00000000" w14:paraId="00000007">
      <w:pPr>
        <w:spacing w:line="240" w:lineRule="auto"/>
        <w:ind w:left="-15" w:right="45" w:firstLine="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pályázaton részt vehet a BME TTK valamely teljes idejű alap-, vagy mesterképzésének a 2024/25. tanév őszi, illetve tavaszi félévben aktív hallgatói jogviszonnyal rendelkező hallgatója.  </w:t>
      </w:r>
    </w:p>
    <w:p w:rsidR="00000000" w:rsidDel="00000000" w:rsidP="00000000" w:rsidRDefault="00000000" w:rsidRPr="00000000" w14:paraId="00000008">
      <w:pPr>
        <w:spacing w:line="240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pályázaton elnyerhető ösztöndíj éves keretösszegét a TTK Kari Tanácsa állapítja meg a Kar éves költségvetésében.</w:t>
      </w:r>
    </w:p>
    <w:p w:rsidR="00000000" w:rsidDel="00000000" w:rsidP="00000000" w:rsidRDefault="00000000" w:rsidRPr="00000000" w14:paraId="00000009">
      <w:pPr>
        <w:spacing w:before="200" w:line="240" w:lineRule="auto"/>
        <w:ind w:left="-5" w:firstLine="0"/>
        <w:jc w:val="both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Elbírálás alapelvei: </w:t>
      </w:r>
    </w:p>
    <w:p w:rsidR="00000000" w:rsidDel="00000000" w:rsidP="00000000" w:rsidRDefault="00000000" w:rsidRPr="00000000" w14:paraId="0000000A">
      <w:pPr>
        <w:spacing w:line="240" w:lineRule="auto"/>
        <w:ind w:left="-5" w:firstLine="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pályázatokat a TTK SZMSZ 2. számú Függelékben meghatározott bizottság (Bíráló Bizottság) bírálja el és javaslata alapján a Kari Tanács hoz döntést. A bizottságban a tudományos és nemzetközi dékánhelyettes, egy hallgatói képviselő (aki nem érintett a pályázatban), valamint szükség esetén, a pályázók szakterületének megfelelő oktató vesz részt.  A Bizottságot a Hallgatói Képviselet hívja össze.</w:t>
      </w:r>
    </w:p>
    <w:p w:rsidR="00000000" w:rsidDel="00000000" w:rsidP="00000000" w:rsidRDefault="00000000" w:rsidRPr="00000000" w14:paraId="0000000B">
      <w:pPr>
        <w:spacing w:after="200" w:before="200" w:line="240" w:lineRule="auto"/>
        <w:ind w:left="-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Pontrendszer: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200" w:before="200" w:line="240" w:lineRule="auto"/>
        <w:ind w:left="-6" w:firstLine="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pályázati időszakban megjelent vagy igazoltan közlésre elfogadott publikációra adható pont. A pontszámot a pályázó szerzői hozzájárulása és a publikáció Scimago Ranking (https://www.scimagojr.com/) besorolása határozza meg az alábbiak szerint:</w:t>
      </w:r>
    </w:p>
    <w:tbl>
      <w:tblPr>
        <w:tblStyle w:val="Table1"/>
        <w:tblW w:w="9078.0" w:type="dxa"/>
        <w:jc w:val="left"/>
        <w:tblInd w:w="-233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4534"/>
        <w:gridCol w:w="4544"/>
        <w:tblGridChange w:id="0">
          <w:tblGrid>
            <w:gridCol w:w="4534"/>
            <w:gridCol w:w="4544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Q1 besorolású folyóiratcikk a pályázó 25 %-ot meghaladó szerzői hozzájárulásával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 pont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Q1 besorolású folyóiratcikk a pályázó 10-25 %-os szerzői hozzájárulásával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 pont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Q2 besorolású folyóiratcikk a pályázó 25 %-ot meghaladó szerzői hozzájárulásával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 pont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Egyéb rangos, bírált publikáció (folyóiratcikk vagy konferenciacikk)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0-10 pont</w:t>
            </w:r>
          </w:p>
        </w:tc>
      </w:tr>
    </w:tbl>
    <w:p w:rsidR="00000000" w:rsidDel="00000000" w:rsidP="00000000" w:rsidRDefault="00000000" w:rsidRPr="00000000" w14:paraId="00000015">
      <w:pPr>
        <w:spacing w:before="200" w:line="240" w:lineRule="auto"/>
        <w:jc w:val="both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A pályázás folyamata: </w:t>
      </w:r>
    </w:p>
    <w:p w:rsidR="00000000" w:rsidDel="00000000" w:rsidP="00000000" w:rsidRDefault="00000000" w:rsidRPr="00000000" w14:paraId="00000016">
      <w:pPr>
        <w:spacing w:line="240" w:lineRule="auto"/>
        <w:ind w:left="-15" w:right="4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hiánytalanul kitöltött pályázati adatlapot és a csatolandó igazolásokat a </w:t>
      </w:r>
      <w:hyperlink r:id="rId6">
        <w:r w:rsidDel="00000000" w:rsidR="00000000" w:rsidRPr="00000000">
          <w:rPr>
            <w:rFonts w:ascii="Garamond" w:cs="Garamond" w:eastAsia="Garamond" w:hAnsi="Garamond"/>
            <w:color w:val="0000ff"/>
            <w:u w:val="single"/>
            <w:rtl w:val="0"/>
          </w:rPr>
          <w:t xml:space="preserve">palyazat@ttkhk.hu</w:t>
        </w:r>
      </w:hyperlink>
      <w:r w:rsidDel="00000000" w:rsidR="00000000" w:rsidRPr="00000000">
        <w:rPr>
          <w:rFonts w:ascii="Garamond" w:cs="Garamond" w:eastAsia="Garamond" w:hAnsi="Garamond"/>
          <w:rtl w:val="0"/>
        </w:rPr>
        <w:t xml:space="preserve"> e-mail címre szükséges elküldeni a Határidők részben megadott határidőig.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200" w:line="240" w:lineRule="auto"/>
        <w:ind w:left="-5" w:firstLine="0"/>
        <w:jc w:val="both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Tartalmi követelmények és a kapcsolódó igazolások: </w:t>
      </w:r>
    </w:p>
    <w:p w:rsidR="00000000" w:rsidDel="00000000" w:rsidP="00000000" w:rsidRDefault="00000000" w:rsidRPr="00000000" w14:paraId="00000018">
      <w:pPr>
        <w:spacing w:line="240" w:lineRule="auto"/>
        <w:ind w:right="4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pályázaton mindig az aktuális beszámolási időszakban végzett tevékenység vehető figyelembe. A pályázónak valamennyi, a pályázat keretében elismertetni kívánt tevékenységét igazolnia szükséges. Igazolás hiányában az adott tevékenység nem értékelhető. A pályázat keretében hiánypótlásra nincs mód, a pályázat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hiánytalanságáért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a pályázó felelős.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200" w:line="240" w:lineRule="auto"/>
        <w:ind w:right="45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pályázati adatlaphoz különösen az alábbi igazolások csatolása szükséges: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40" w:lineRule="auto"/>
        <w:ind w:left="1003" w:right="45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Megjelent publikáció esetén a publikáció teljes szövege, amennyiben az nem érhető el MTMT adatbázisban ellenőrzött rekordként.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1003" w:right="45" w:hanging="360"/>
        <w:jc w:val="both"/>
        <w:rPr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Elfogadott publikáció esetén a publikáció teljes szövege és az elfogadó nyilatkozat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40" w:lineRule="auto"/>
        <w:ind w:left="1003" w:right="45" w:hanging="360"/>
        <w:jc w:val="both"/>
        <w:rPr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Nyilatkozat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témavezetőtől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vagy szenior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társszerzőtől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a pályázó százalékos szerzői hozzájárulásáról és a hozzájárulás szöveges bemutatásáról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1"/>
        <w:spacing w:before="200" w:line="240" w:lineRule="auto"/>
        <w:jc w:val="both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A pályázaton elnyerhető ösztöndíj: </w:t>
      </w:r>
    </w:p>
    <w:p w:rsidR="00000000" w:rsidDel="00000000" w:rsidP="00000000" w:rsidRDefault="00000000" w:rsidRPr="00000000" w14:paraId="0000001E">
      <w:pPr>
        <w:spacing w:line="240" w:lineRule="auto"/>
        <w:ind w:left="-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Az ösztöndíj elnyeréséhez minimálisan szükséges pontszámot a Bíráló Bizottság állapítja meg. Az elnyerhető ösztöndíj egyösszegű. Az elnyerhető egyes ösztöndíjak nagyságát a Bíráló Bizottság állapítja meg a beérkezett pályázatok és a rendelkezésre álló keret figyelembevételével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Határidők:</w:t>
      </w:r>
    </w:p>
    <w:p w:rsidR="00000000" w:rsidDel="00000000" w:rsidP="00000000" w:rsidRDefault="00000000" w:rsidRPr="00000000" w14:paraId="00000021">
      <w:pPr>
        <w:spacing w:line="240" w:lineRule="auto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375.999999999999" w:type="dxa"/>
        <w:jc w:val="left"/>
        <w:tblInd w:w="9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72"/>
        <w:gridCol w:w="3704"/>
        <w:tblGridChange w:id="0">
          <w:tblGrid>
            <w:gridCol w:w="3672"/>
            <w:gridCol w:w="370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Őszi félév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A pályázat által vizsgált időszak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2024. június 1. – 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2024. 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november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30</w:t>
            </w: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A pályázat benyújtásának határideje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2025. április 11. 23:59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Kari Tanács ülésének időpontja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2025. április 16.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A végleges eredmény kihirdetése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2025. április 19.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Kifizetés időpontja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2025. május 10.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Tavaszi félév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A pályázat által vizsgált időszak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2024. december 1. – 2025. május 31.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A pályázat benyújtásának határideje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2025. június 8. 23:59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Kari Tanács ülésének időpontja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2025. június 18.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A végleges eredmény kihirdetése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2025. június 21.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Kifizetés időpontja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2025. július 10.</w:t>
            </w:r>
          </w:p>
        </w:tc>
      </w:tr>
    </w:tbl>
    <w:p w:rsidR="00000000" w:rsidDel="00000000" w:rsidP="00000000" w:rsidRDefault="00000000" w:rsidRPr="00000000" w14:paraId="0000003C">
      <w:pPr>
        <w:spacing w:before="120" w:line="240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nem a kiírás szerint benyújtott vagy a pályázat határidejének lejárta után benyújtott pályázat érvénytelen és elutasításra kerül. A pályázat keretében hiánypótlásra nincs mód, a benyújtott pályázat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hiánytalanságáért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a pályázó felel. Amennyiben a pályázó a figyelembe vett cikk(ek) elszámolása tekintetében hibát észlel, azt jogorvoslatként a Bíráló Bizottságnál jelezheti.</w:t>
      </w:r>
    </w:p>
    <w:p w:rsidR="00000000" w:rsidDel="00000000" w:rsidP="00000000" w:rsidRDefault="00000000" w:rsidRPr="00000000" w14:paraId="0000003D">
      <w:pPr>
        <w:spacing w:before="200" w:line="240" w:lineRule="auto"/>
        <w:jc w:val="both"/>
        <w:rPr>
          <w:rFonts w:ascii="Garamond" w:cs="Garamond" w:eastAsia="Garamond" w:hAnsi="Garamond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before="200" w:line="240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Eredmény: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ind w:left="-15" w:right="45" w:firstLine="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Az eredményt a TTK (</w:t>
      </w:r>
      <w:hyperlink r:id="rId7">
        <w:r w:rsidDel="00000000" w:rsidR="00000000" w:rsidRPr="00000000">
          <w:rPr>
            <w:rFonts w:ascii="Garamond" w:cs="Garamond" w:eastAsia="Garamond" w:hAnsi="Garamond"/>
            <w:color w:val="0000ff"/>
            <w:u w:val="single"/>
            <w:rtl w:val="0"/>
          </w:rPr>
          <w:t xml:space="preserve">http://ttk.bme.hu</w:t>
        </w:r>
      </w:hyperlink>
      <w:r w:rsidDel="00000000" w:rsidR="00000000" w:rsidRPr="00000000">
        <w:rPr>
          <w:rFonts w:ascii="Garamond" w:cs="Garamond" w:eastAsia="Garamond" w:hAnsi="Garamond"/>
          <w:rtl w:val="0"/>
        </w:rPr>
        <w:t xml:space="preserve">) és a TTK HK a Bíráló Bizottság döntését követő 5 munkanapon belül a saját honlapján (</w:t>
      </w:r>
      <w:hyperlink r:id="rId8">
        <w:r w:rsidDel="00000000" w:rsidR="00000000" w:rsidRPr="00000000">
          <w:rPr>
            <w:rFonts w:ascii="Garamond" w:cs="Garamond" w:eastAsia="Garamond" w:hAnsi="Garamond"/>
            <w:color w:val="0000ff"/>
            <w:u w:val="single"/>
            <w:rtl w:val="0"/>
          </w:rPr>
          <w:t xml:space="preserve">http://ttkhk.bme.hu</w:t>
        </w:r>
      </w:hyperlink>
      <w:r w:rsidDel="00000000" w:rsidR="00000000" w:rsidRPr="00000000">
        <w:rPr>
          <w:rFonts w:ascii="Garamond" w:cs="Garamond" w:eastAsia="Garamond" w:hAnsi="Garamond"/>
          <w:rtl w:val="0"/>
        </w:rPr>
        <w:t xml:space="preserve">) hozza nyilvánosságra a következő adatokkal: Neptun kód, pontszám, megítélt összeg. </w:t>
      </w:r>
    </w:p>
    <w:p w:rsidR="00000000" w:rsidDel="00000000" w:rsidP="00000000" w:rsidRDefault="00000000" w:rsidRPr="00000000" w14:paraId="00000040">
      <w:pPr>
        <w:spacing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Kérünk minden pályázót, hogy a pályázatában szereplő adatait leadás előtt ellenőrizze, különös tekintettel a Neptun, illetve a képzés kódjára.</w:t>
      </w:r>
    </w:p>
    <w:p w:rsidR="00000000" w:rsidDel="00000000" w:rsidP="00000000" w:rsidRDefault="00000000" w:rsidRPr="00000000" w14:paraId="00000042">
      <w:pPr>
        <w:spacing w:line="240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120" w:line="276" w:lineRule="auto"/>
        <w:jc w:val="both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Adatvédelem:</w:t>
      </w:r>
    </w:p>
    <w:p w:rsidR="00000000" w:rsidDel="00000000" w:rsidP="00000000" w:rsidRDefault="00000000" w:rsidRPr="00000000" w14:paraId="00000044">
      <w:pPr>
        <w:spacing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TTK és a TTK HK az ösztöndíj pályázatok elbírálásához szükséges személyes adatokat a hatályos adatvédelmi szabályoknak megfelelően kezeli a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mellékelt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adatvédelmi tájékoztató szerint.</w:t>
      </w:r>
    </w:p>
    <w:p w:rsidR="00000000" w:rsidDel="00000000" w:rsidP="00000000" w:rsidRDefault="00000000" w:rsidRPr="00000000" w14:paraId="00000045">
      <w:pPr>
        <w:spacing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ind w:firstLine="284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right" w:leader="none" w:pos="9131"/>
        </w:tabs>
        <w:spacing w:line="240" w:lineRule="auto"/>
        <w:ind w:left="-15" w:firstLine="0"/>
        <w:jc w:val="both"/>
        <w:rPr>
          <w:rFonts w:ascii="Garamond" w:cs="Garamond" w:eastAsia="Garamond" w:hAnsi="Garamond"/>
        </w:rPr>
      </w:pPr>
      <w:bookmarkStart w:colFirst="0" w:colLast="0" w:name="_30j0zll" w:id="1"/>
      <w:bookmarkEnd w:id="1"/>
      <w:r w:rsidDel="00000000" w:rsidR="00000000" w:rsidRPr="00000000">
        <w:rPr>
          <w:rFonts w:ascii="Garamond" w:cs="Garamond" w:eastAsia="Garamond" w:hAnsi="Garamond"/>
          <w:rtl w:val="0"/>
        </w:rPr>
        <w:t xml:space="preserve">2025. március 24.</w:t>
      </w:r>
    </w:p>
    <w:p w:rsidR="00000000" w:rsidDel="00000000" w:rsidP="00000000" w:rsidRDefault="00000000" w:rsidRPr="00000000" w14:paraId="00000049">
      <w:pPr>
        <w:tabs>
          <w:tab w:val="right" w:leader="none" w:pos="9131"/>
        </w:tabs>
        <w:spacing w:line="240" w:lineRule="auto"/>
        <w:ind w:left="-15" w:firstLine="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ab/>
        <w:t xml:space="preserve">Dr. Aszódi Attila </w:t>
      </w:r>
    </w:p>
    <w:p w:rsidR="00000000" w:rsidDel="00000000" w:rsidP="00000000" w:rsidRDefault="00000000" w:rsidRPr="00000000" w14:paraId="0000004A">
      <w:pPr>
        <w:tabs>
          <w:tab w:val="right" w:leader="none" w:pos="9131"/>
        </w:tabs>
        <w:spacing w:line="240" w:lineRule="auto"/>
        <w:ind w:left="-15" w:firstLine="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ab/>
        <w:t xml:space="preserve">dékán</w:t>
      </w:r>
    </w:p>
    <w:p w:rsidR="00000000" w:rsidDel="00000000" w:rsidP="00000000" w:rsidRDefault="00000000" w:rsidRPr="00000000" w14:paraId="0000004B">
      <w:pPr>
        <w:tabs>
          <w:tab w:val="right" w:leader="none" w:pos="9131"/>
        </w:tabs>
        <w:spacing w:line="240" w:lineRule="auto"/>
        <w:ind w:left="-15" w:firstLine="0"/>
        <w:jc w:val="both"/>
        <w:rPr/>
      </w:pPr>
      <w:r w:rsidDel="00000000" w:rsidR="00000000" w:rsidRPr="00000000">
        <w:rPr>
          <w:rFonts w:ascii="Garamond" w:cs="Garamond" w:eastAsia="Garamond" w:hAnsi="Garamond"/>
          <w:rtl w:val="0"/>
        </w:rPr>
        <w:tab/>
        <w:t xml:space="preserve">BME Természettudományi Kar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spacing w:line="240" w:lineRule="auto"/>
      <w:jc w:val="center"/>
      <w:rPr/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114300" distT="114300" distL="114300" distR="114300">
          <wp:extent cx="5731200" cy="45720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457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spacing w:line="240" w:lineRule="auto"/>
      <w:jc w:val="center"/>
      <w:rPr/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0" distT="0" distL="0" distR="0">
          <wp:extent cx="1923415" cy="54292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65" l="-17" r="-18" t="-66"/>
                  <a:stretch>
                    <a:fillRect/>
                  </a:stretch>
                </pic:blipFill>
                <pic:spPr>
                  <a:xfrm>
                    <a:off x="0" y="0"/>
                    <a:ext cx="1923415" cy="5429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003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72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43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163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88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03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323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04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63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palyazat@ttkhk.hu" TargetMode="External"/><Relationship Id="rId7" Type="http://schemas.openxmlformats.org/officeDocument/2006/relationships/hyperlink" Target="http://ttk.bme.hu" TargetMode="External"/><Relationship Id="rId8" Type="http://schemas.openxmlformats.org/officeDocument/2006/relationships/hyperlink" Target="http://ttkhk.bme.h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